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rPr>
      </w:pPr>
      <w:r>
        <w:rPr>
          <w:rFonts w:hint="eastAsia" w:ascii="黑体" w:hAnsi="黑体" w:eastAsia="黑体" w:cs="黑体"/>
          <w:spacing w:val="-12"/>
          <w:sz w:val="32"/>
          <w:szCs w:val="32"/>
        </w:rPr>
        <w:t>附件2</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1"/>
        <w:rPr>
          <w:rFonts w:hint="eastAsia" w:ascii="方正小标宋简体" w:eastAsia="方正小标宋简体"/>
          <w:spacing w:val="-12"/>
          <w:sz w:val="44"/>
          <w:szCs w:val="44"/>
        </w:rPr>
      </w:pPr>
    </w:p>
    <w:p>
      <w:pPr>
        <w:widowControl/>
        <w:numPr>
          <w:numId w:val="0"/>
        </w:numPr>
        <w:spacing w:line="560" w:lineRule="exact"/>
        <w:ind w:leftChars="0" w:firstLine="640" w:firstLineChars="200"/>
        <w:jc w:val="left"/>
        <w:outlineLvl w:val="0"/>
        <w:rPr>
          <w:rFonts w:ascii="黑体" w:eastAsia="黑体"/>
          <w:sz w:val="32"/>
          <w:szCs w:val="32"/>
          <w:lang w:bidi="ar"/>
        </w:rPr>
      </w:pPr>
      <w:r>
        <w:rPr>
          <w:rFonts w:hint="eastAsia" w:eastAsia="黑体" w:cstheme="minorBidi"/>
          <w:kern w:val="0"/>
          <w:sz w:val="32"/>
          <w:szCs w:val="32"/>
          <w:lang w:val="en-US" w:eastAsia="zh-CN" w:bidi="ar-SA"/>
        </w:rPr>
        <w:t>一、</w:t>
      </w:r>
      <w:r>
        <w:rPr>
          <w:rFonts w:hint="eastAsia" w:ascii="黑体" w:eastAsia="黑体"/>
          <w:sz w:val="32"/>
          <w:szCs w:val="32"/>
          <w:lang w:bidi="ar"/>
        </w:rPr>
        <w:t>氨基酸态氮</w:t>
      </w:r>
    </w:p>
    <w:p>
      <w:pPr>
        <w:spacing w:line="594"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lang w:bidi="ar"/>
        </w:rPr>
        <w:t>氨基酸态氮是酱油的特征性品质指标之一。氨基酸态氮含量越高，酱油的质量越好，鲜味越浓。氨基酸态氮不合格，主要影响的是酱油</w:t>
      </w:r>
      <w:r>
        <w:rPr>
          <w:rFonts w:eastAsia="仿宋_GB2312"/>
          <w:sz w:val="32"/>
          <w:szCs w:val="32"/>
          <w:lang w:bidi="ar"/>
        </w:rPr>
        <w:t>产品的风味。</w:t>
      </w:r>
      <w:r>
        <w:rPr>
          <w:rFonts w:hint="default" w:ascii="Times New Roman" w:hAnsi="Times New Roman" w:eastAsia="仿宋_GB2312" w:cs="Times New Roman"/>
          <w:sz w:val="32"/>
          <w:szCs w:val="32"/>
          <w:lang w:bidi="ar"/>
        </w:rPr>
        <w:t>酿造酱油应在标签上标明氨基酸态氮含量，且氨基酸态氮含量不得低于标签明示值。</w:t>
      </w:r>
      <w:r>
        <w:rPr>
          <w:rFonts w:hint="default" w:ascii="Times New Roman" w:hAnsi="Times New Roman" w:eastAsia="仿宋_GB2312" w:cs="Times New Roman"/>
          <w:sz w:val="32"/>
          <w:szCs w:val="32"/>
          <w:lang w:eastAsia="zh-CN" w:bidi="ar"/>
        </w:rPr>
        <w:t>此批次</w:t>
      </w:r>
      <w:r>
        <w:rPr>
          <w:rFonts w:hint="default" w:ascii="Times New Roman" w:hAnsi="Times New Roman" w:eastAsia="仿宋_GB2312" w:cs="Times New Roman"/>
          <w:sz w:val="32"/>
          <w:szCs w:val="32"/>
          <w:lang w:bidi="ar"/>
        </w:rPr>
        <w:t>酿造酱油</w:t>
      </w:r>
      <w:r>
        <w:rPr>
          <w:rFonts w:hint="default" w:ascii="Times New Roman" w:hAnsi="Times New Roman" w:eastAsia="仿宋_GB2312" w:cs="Times New Roman"/>
          <w:sz w:val="32"/>
          <w:szCs w:val="32"/>
          <w:lang w:eastAsia="zh-CN" w:bidi="ar"/>
        </w:rPr>
        <w:t>标签标示</w:t>
      </w:r>
      <w:r>
        <w:rPr>
          <w:rFonts w:hint="default" w:ascii="Times New Roman" w:hAnsi="Times New Roman" w:eastAsia="仿宋_GB2312" w:cs="Times New Roman"/>
          <w:sz w:val="32"/>
          <w:szCs w:val="32"/>
          <w:lang w:bidi="ar"/>
        </w:rPr>
        <w:t>氨基酸态氮含量</w:t>
      </w:r>
      <w:r>
        <w:rPr>
          <w:rFonts w:hint="default" w:ascii="Times New Roman" w:hAnsi="Times New Roman" w:eastAsia="仿宋_GB2312" w:cs="Times New Roman"/>
          <w:sz w:val="32"/>
          <w:szCs w:val="32"/>
          <w:lang w:eastAsia="zh-CN" w:bidi="ar"/>
        </w:rPr>
        <w:t>不低于</w:t>
      </w:r>
      <w:r>
        <w:rPr>
          <w:rFonts w:hint="default" w:ascii="Times New Roman" w:hAnsi="Times New Roman" w:eastAsia="仿宋_GB2312" w:cs="Times New Roman"/>
          <w:sz w:val="32"/>
          <w:szCs w:val="32"/>
          <w:lang w:val="en-US" w:eastAsia="zh-CN" w:bidi="ar"/>
        </w:rPr>
        <w:t>0.40g/100ml。</w:t>
      </w:r>
      <w:r>
        <w:rPr>
          <w:rFonts w:hint="eastAsia" w:ascii="Times New Roman" w:hAnsi="Times New Roman" w:eastAsia="仿宋_GB2312" w:cs="Times New Roman"/>
          <w:sz w:val="32"/>
          <w:szCs w:val="32"/>
        </w:rPr>
        <w:t>酱油中氨基酸态氮不达标的原因，</w:t>
      </w:r>
      <w:r>
        <w:rPr>
          <w:rFonts w:ascii="Times New Roman" w:hAnsi="Times New Roman" w:eastAsia="仿宋_GB2312" w:cs="Times New Roman"/>
          <w:sz w:val="32"/>
          <w:szCs w:val="32"/>
        </w:rPr>
        <w:t>可能是产品生产工艺不符合标准要求，未达到要求发酵的时间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也可能是产品配方缺陷的问题</w:t>
      </w:r>
      <w:r>
        <w:rPr>
          <w:rFonts w:hint="eastAsia" w:ascii="Times New Roman" w:hAnsi="Times New Roman" w:eastAsia="仿宋_GB2312" w:cs="Times New Roman"/>
          <w:sz w:val="32"/>
          <w:szCs w:val="32"/>
          <w:lang w:eastAsia="zh-CN"/>
        </w:rPr>
        <w:t>；也</w:t>
      </w:r>
      <w:r>
        <w:rPr>
          <w:rFonts w:eastAsia="仿宋_GB2312"/>
          <w:sz w:val="32"/>
          <w:szCs w:val="32"/>
          <w:lang w:bidi="ar"/>
        </w:rPr>
        <w:t>可能是企业违规标注明示值；</w:t>
      </w:r>
      <w:r>
        <w:rPr>
          <w:rFonts w:ascii="Times New Roman" w:hAnsi="Times New Roman" w:eastAsia="仿宋_GB2312" w:cs="Times New Roman"/>
          <w:sz w:val="32"/>
          <w:szCs w:val="32"/>
        </w:rPr>
        <w:t>还有可能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个别企业为降低成本而故意掺假。</w:t>
      </w:r>
    </w:p>
    <w:p>
      <w:pPr>
        <w:spacing w:line="594" w:lineRule="exact"/>
        <w:ind w:firstLine="640" w:firstLineChars="200"/>
        <w:textAlignment w:val="baseline"/>
        <w:rPr>
          <w:rFonts w:ascii="Times New Roman" w:hAnsi="Times New Roman" w:eastAsia="黑体" w:cs="Times New Roman"/>
          <w:sz w:val="32"/>
          <w:szCs w:val="32"/>
        </w:rPr>
      </w:pPr>
    </w:p>
    <w:p>
      <w:pPr>
        <w:widowControl/>
        <w:numPr>
          <w:numId w:val="0"/>
        </w:numPr>
        <w:spacing w:line="560" w:lineRule="exact"/>
        <w:ind w:leftChars="0" w:firstLine="640" w:firstLineChars="200"/>
        <w:jc w:val="left"/>
        <w:outlineLvl w:val="0"/>
        <w:rPr>
          <w:rFonts w:ascii="黑体" w:eastAsia="黑体"/>
          <w:sz w:val="32"/>
          <w:szCs w:val="32"/>
          <w:lang w:bidi="ar"/>
        </w:rPr>
      </w:pPr>
      <w:r>
        <w:rPr>
          <w:rFonts w:hint="eastAsia" w:ascii="Times New Roman" w:hAnsi="Times New Roman" w:eastAsia="黑体" w:cs="Times New Roman"/>
          <w:sz w:val="32"/>
          <w:szCs w:val="32"/>
          <w:lang w:eastAsia="zh-CN"/>
        </w:rPr>
        <w:t>二、</w:t>
      </w:r>
      <w:r>
        <w:rPr>
          <w:rFonts w:hint="eastAsia" w:ascii="黑体" w:eastAsia="黑体"/>
          <w:sz w:val="32"/>
          <w:szCs w:val="32"/>
          <w:lang w:bidi="ar"/>
        </w:rPr>
        <w:t>苯甲酸及其钠盐</w:t>
      </w:r>
    </w:p>
    <w:p>
      <w:pPr>
        <w:numPr>
          <w:ilvl w:val="0"/>
          <w:numId w:val="0"/>
        </w:numPr>
        <w:ind w:left="0" w:leftChars="0" w:firstLine="640" w:firstLineChars="200"/>
        <w:outlineLvl w:val="0"/>
        <w:rPr>
          <w:rFonts w:hint="eastAsia" w:eastAsia="仿宋_GB2312"/>
          <w:sz w:val="32"/>
          <w:szCs w:val="32"/>
          <w:lang w:eastAsia="zh-CN" w:bidi="ar"/>
        </w:rPr>
      </w:pPr>
      <w:r>
        <w:rPr>
          <w:rFonts w:eastAsia="仿宋_GB2312"/>
          <w:sz w:val="32"/>
          <w:szCs w:val="32"/>
          <w:lang w:bidi="ar"/>
        </w:rPr>
        <w:t>苯甲酸及其钠盐是食品工业中常见的一种防腐保鲜剂，对霉菌、酵母和细菌有较好的抑制作用。</w:t>
      </w:r>
      <w:r>
        <w:rPr>
          <w:rFonts w:hint="eastAsia" w:eastAsia="仿宋_GB2312"/>
          <w:sz w:val="32"/>
          <w:szCs w:val="32"/>
          <w:lang w:bidi="ar"/>
        </w:rPr>
        <w:t>《食品安全国家标准 食品添加剂使用标准》</w:t>
      </w:r>
      <w:r>
        <w:rPr>
          <w:rFonts w:hint="eastAsia" w:eastAsia="仿宋_GB2312"/>
          <w:sz w:val="32"/>
          <w:szCs w:val="32"/>
          <w:lang w:eastAsia="zh-CN" w:bidi="ar"/>
        </w:rPr>
        <w:t>（</w:t>
      </w:r>
      <w:r>
        <w:rPr>
          <w:rFonts w:hint="eastAsia" w:ascii="Times New Roman" w:hAnsi="Times New Roman" w:eastAsia="仿宋_GB2312" w:cs="Times New Roman"/>
          <w:sz w:val="32"/>
          <w:szCs w:val="32"/>
          <w:lang w:val="en-US" w:eastAsia="zh-CN" w:bidi="ar"/>
        </w:rPr>
        <w:t>GB 2760-2014</w:t>
      </w:r>
      <w:r>
        <w:rPr>
          <w:rFonts w:hint="eastAsia" w:eastAsia="仿宋_GB2312"/>
          <w:sz w:val="32"/>
          <w:szCs w:val="32"/>
          <w:lang w:eastAsia="zh-CN" w:bidi="ar"/>
        </w:rPr>
        <w:t>）中规定，酱油的苯甲酸及其钠盐的最大检出限量</w:t>
      </w:r>
      <w:r>
        <w:rPr>
          <w:rFonts w:hint="eastAsia" w:ascii="Times New Roman" w:hAnsi="Times New Roman" w:eastAsia="仿宋_GB2312" w:cs="Times New Roman"/>
          <w:sz w:val="32"/>
          <w:szCs w:val="32"/>
          <w:lang w:val="en-US" w:eastAsia="zh-CN" w:bidi="ar"/>
        </w:rPr>
        <w:t>为1.0g/kg。苯甲酸及其钠盐超标的原因可能有：一是延长货架期（增加产品保质期），超范围或超限量使用；二是生产不规范，配料不准确；三是弥补产品生产过程卫生条件不佳而超限量使用，或者未准确计量。</w:t>
      </w:r>
    </w:p>
    <w:p>
      <w:pPr>
        <w:numPr>
          <w:ilvl w:val="0"/>
          <w:numId w:val="0"/>
        </w:numPr>
        <w:ind w:left="0" w:leftChars="0" w:firstLine="640" w:firstLineChars="200"/>
        <w:outlineLvl w:val="0"/>
        <w:rPr>
          <w:rFonts w:hint="eastAsia" w:ascii="Times New Roman" w:hAnsi="Times New Roman" w:eastAsia="黑体" w:cs="Times New Roman"/>
          <w:sz w:val="32"/>
          <w:szCs w:val="32"/>
          <w:lang w:eastAsia="zh-CN"/>
        </w:rPr>
      </w:pPr>
    </w:p>
    <w:p>
      <w:pPr>
        <w:numPr>
          <w:ilvl w:val="0"/>
          <w:numId w:val="0"/>
        </w:numPr>
        <w:ind w:leftChars="0" w:firstLine="640" w:firstLineChars="200"/>
        <w:outlineLvl w:val="0"/>
        <w:rPr>
          <w:rFonts w:eastAsia="黑体"/>
          <w:sz w:val="32"/>
          <w:szCs w:val="32"/>
        </w:rPr>
      </w:pPr>
      <w:r>
        <w:rPr>
          <w:rFonts w:hint="eastAsia" w:eastAsia="黑体"/>
          <w:kern w:val="0"/>
          <w:sz w:val="32"/>
          <w:szCs w:val="32"/>
          <w:lang w:eastAsia="zh-CN"/>
        </w:rPr>
        <w:t>三、</w:t>
      </w:r>
      <w:r>
        <w:rPr>
          <w:rFonts w:hint="eastAsia" w:eastAsia="黑体"/>
          <w:sz w:val="32"/>
          <w:szCs w:val="32"/>
        </w:rPr>
        <w:t>溴酸盐</w:t>
      </w:r>
    </w:p>
    <w:p>
      <w:pPr>
        <w:numPr>
          <w:ilvl w:val="0"/>
          <w:numId w:val="0"/>
        </w:numPr>
        <w:ind w:leftChars="0"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《食品安全国家标准 饮用天然矿泉水》（GB 8537-2018）</w:t>
      </w:r>
      <w:r>
        <w:rPr>
          <w:rFonts w:ascii="Times New Roman" w:hAnsi="Times New Roman" w:eastAsia="仿宋_GB2312" w:cs="Times New Roman"/>
          <w:sz w:val="32"/>
          <w:szCs w:val="32"/>
        </w:rPr>
        <w:t>中规定，饮用天然矿泉水中溴酸盐</w:t>
      </w:r>
      <w:r>
        <w:rPr>
          <w:rFonts w:hint="eastAsia" w:ascii="Times New Roman" w:hAnsi="Times New Roman" w:eastAsia="仿宋_GB2312" w:cs="Times New Roman"/>
          <w:sz w:val="32"/>
          <w:szCs w:val="32"/>
        </w:rPr>
        <w:t>的检出值应小于</w:t>
      </w:r>
      <w:r>
        <w:rPr>
          <w:rFonts w:ascii="Times New Roman" w:hAnsi="Times New Roman" w:eastAsia="仿宋_GB2312" w:cs="Times New Roman"/>
          <w:sz w:val="32"/>
          <w:szCs w:val="32"/>
        </w:rPr>
        <w:t>0.01mg/L。正常情况下，水中不含溴酸盐，但普遍含有溴化物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p>
    <w:p>
      <w:pPr>
        <w:numPr>
          <w:numId w:val="0"/>
        </w:numPr>
        <w:spacing w:line="594" w:lineRule="exact"/>
        <w:ind w:leftChars="0" w:firstLine="640" w:firstLineChars="200"/>
        <w:outlineLvl w:val="0"/>
        <w:rPr>
          <w:rFonts w:hint="eastAsia" w:ascii="Times New Roman" w:hAnsi="Times New Roman" w:eastAsia="黑体" w:cs="Times New Roman"/>
          <w:spacing w:val="-12"/>
          <w:sz w:val="32"/>
          <w:szCs w:val="32"/>
        </w:rPr>
      </w:pPr>
      <w:bookmarkStart w:id="0" w:name="_GoBack"/>
      <w:bookmarkEnd w:id="0"/>
      <w:r>
        <w:rPr>
          <w:rFonts w:hint="eastAsia" w:eastAsia="黑体"/>
          <w:kern w:val="0"/>
          <w:sz w:val="32"/>
          <w:szCs w:val="32"/>
          <w:lang w:eastAsia="zh-CN"/>
        </w:rPr>
        <w:t>四、</w:t>
      </w:r>
      <w:r>
        <w:rPr>
          <w:rFonts w:hint="eastAsia" w:ascii="Times New Roman" w:hAnsi="Times New Roman" w:eastAsia="黑体" w:cs="Times New Roman"/>
          <w:spacing w:val="-12"/>
          <w:sz w:val="32"/>
          <w:szCs w:val="32"/>
        </w:rPr>
        <w:t>纳他霉素</w:t>
      </w:r>
    </w:p>
    <w:p>
      <w:pPr>
        <w:numPr>
          <w:ilvl w:val="0"/>
          <w:numId w:val="0"/>
        </w:numPr>
        <w:ind w:leftChars="0" w:firstLine="616"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pacing w:val="-6"/>
          <w:sz w:val="32"/>
          <w:szCs w:val="32"/>
        </w:rPr>
        <w:t>纳他霉素是一种无臭、无味，低剂量且安全性高的食品防腐剂。在焙烤食品用纳他霉素对面团进行表面处理，有明显的延长保质期作用。《食品安全国家标准 食品添加剂使用标准》（GB 2760-2014）</w:t>
      </w:r>
      <w:r>
        <w:rPr>
          <w:rFonts w:hint="eastAsia" w:ascii="Times New Roman" w:hAnsi="Times New Roman" w:eastAsia="仿宋_GB2312" w:cs="Times New Roman"/>
          <w:spacing w:val="-6"/>
          <w:sz w:val="32"/>
          <w:szCs w:val="32"/>
          <w:lang w:eastAsia="zh-CN"/>
        </w:rPr>
        <w:t>中规定，纳他霉素于糕点表面使用，用悬浮液喷雾或浸泡，残留量应小于10mg/kg。糕点中的纳他霉素超标的原因可能是企业为了延长</w:t>
      </w:r>
      <w:r>
        <w:rPr>
          <w:rFonts w:hint="eastAsia" w:ascii="Times New Roman" w:hAnsi="Times New Roman" w:eastAsia="仿宋_GB2312" w:cs="Times New Roman"/>
          <w:sz w:val="32"/>
          <w:szCs w:val="32"/>
          <w:lang w:val="en-US" w:eastAsia="zh-CN" w:bidi="ar"/>
        </w:rPr>
        <w:t>货架期（增加产品保质期），超范围、超限量使用食品添加剂。</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3731FD8"/>
    <w:rsid w:val="04FD0185"/>
    <w:rsid w:val="0643453F"/>
    <w:rsid w:val="083119A6"/>
    <w:rsid w:val="08C70051"/>
    <w:rsid w:val="0A2246B7"/>
    <w:rsid w:val="0B23740C"/>
    <w:rsid w:val="0BF55D05"/>
    <w:rsid w:val="0E3E57FB"/>
    <w:rsid w:val="0E6E3364"/>
    <w:rsid w:val="0FEE1D9C"/>
    <w:rsid w:val="125E1B94"/>
    <w:rsid w:val="157E5278"/>
    <w:rsid w:val="169D136B"/>
    <w:rsid w:val="190A207C"/>
    <w:rsid w:val="199130D1"/>
    <w:rsid w:val="199303A5"/>
    <w:rsid w:val="1A943B45"/>
    <w:rsid w:val="1B6D47CE"/>
    <w:rsid w:val="1C0D4647"/>
    <w:rsid w:val="1E526692"/>
    <w:rsid w:val="1F245FB8"/>
    <w:rsid w:val="20734AD8"/>
    <w:rsid w:val="217B58C1"/>
    <w:rsid w:val="22EE5E6A"/>
    <w:rsid w:val="24C105FB"/>
    <w:rsid w:val="28926171"/>
    <w:rsid w:val="28FE5380"/>
    <w:rsid w:val="293C4333"/>
    <w:rsid w:val="2A266F86"/>
    <w:rsid w:val="2B453547"/>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D4703A"/>
    <w:rsid w:val="534230F9"/>
    <w:rsid w:val="54D163A0"/>
    <w:rsid w:val="575B13D1"/>
    <w:rsid w:val="57CB2923"/>
    <w:rsid w:val="5C9E489B"/>
    <w:rsid w:val="5E0540D0"/>
    <w:rsid w:val="5F7B3A23"/>
    <w:rsid w:val="61DD6D44"/>
    <w:rsid w:val="66325BC9"/>
    <w:rsid w:val="6BA279B0"/>
    <w:rsid w:val="6BB87E7B"/>
    <w:rsid w:val="740B3C12"/>
    <w:rsid w:val="74E00729"/>
    <w:rsid w:val="75057978"/>
    <w:rsid w:val="75202347"/>
    <w:rsid w:val="76D75FC2"/>
    <w:rsid w:val="77887501"/>
    <w:rsid w:val="77E37BF6"/>
    <w:rsid w:val="78971D8D"/>
    <w:rsid w:val="79516C02"/>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1</TotalTime>
  <ScaleCrop>false</ScaleCrop>
  <LinksUpToDate>false</LinksUpToDate>
  <CharactersWithSpaces>1896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2021-04-21T11:27:41Z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F46EFFB5EC0D4DB5A641BE2063BCF22F</vt:lpwstr>
  </property>
</Properties>
</file>